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42B" w:rsidRDefault="0005742B" w:rsidP="00FB1035">
      <w:pPr>
        <w:ind w:right="1417"/>
        <w:rPr>
          <w:rFonts w:ascii="Arial" w:hAnsi="Arial" w:cs="Arial"/>
          <w:noProof/>
          <w:color w:val="008DC9"/>
          <w:sz w:val="32"/>
          <w:szCs w:val="32"/>
          <w:lang w:eastAsia="de-DE"/>
        </w:rPr>
      </w:pPr>
      <w:r w:rsidRPr="00D100D7">
        <w:rPr>
          <w:rFonts w:ascii="Arial" w:hAnsi="Arial" w:cs="Arial"/>
          <w:noProof/>
          <w:color w:val="008DC9"/>
          <w:sz w:val="32"/>
          <w:szCs w:val="32"/>
          <w:lang w:eastAsia="de-DE"/>
        </w:rPr>
        <w:t xml:space="preserve">vom </w:t>
      </w:r>
      <w:r w:rsidR="009C5729">
        <w:rPr>
          <w:rFonts w:ascii="Arial" w:hAnsi="Arial" w:cs="Arial"/>
          <w:noProof/>
          <w:color w:val="008DC9"/>
          <w:sz w:val="32"/>
          <w:szCs w:val="32"/>
          <w:lang w:eastAsia="de-DE"/>
        </w:rPr>
        <w:t>20.03.2020</w:t>
      </w:r>
    </w:p>
    <w:p w:rsidR="00E01C73" w:rsidRDefault="00E01C73" w:rsidP="00FB1035">
      <w:pPr>
        <w:ind w:right="1417"/>
        <w:rPr>
          <w:rFonts w:ascii="Arial" w:hAnsi="Arial" w:cs="Arial"/>
          <w:noProof/>
          <w:color w:val="008DC9"/>
          <w:sz w:val="32"/>
          <w:szCs w:val="32"/>
          <w:lang w:eastAsia="de-DE"/>
        </w:rPr>
      </w:pPr>
    </w:p>
    <w:p w:rsidR="00E01C73" w:rsidRDefault="00E01C73" w:rsidP="00FB1035">
      <w:pPr>
        <w:ind w:right="1417"/>
        <w:rPr>
          <w:rFonts w:ascii="Arial" w:hAnsi="Arial" w:cs="Arial"/>
          <w:noProof/>
          <w:color w:val="008DC9"/>
          <w:sz w:val="32"/>
          <w:szCs w:val="32"/>
          <w:lang w:eastAsia="de-DE"/>
        </w:rPr>
      </w:pPr>
    </w:p>
    <w:p w:rsidR="009C5729" w:rsidRPr="004C3A3A" w:rsidRDefault="009C5729" w:rsidP="009C5729">
      <w:pPr>
        <w:ind w:right="2125"/>
        <w:jc w:val="left"/>
        <w:rPr>
          <w:rFonts w:ascii="Arial" w:hAnsi="Arial" w:cs="Arial"/>
          <w:b/>
          <w:sz w:val="24"/>
          <w:szCs w:val="24"/>
        </w:rPr>
      </w:pPr>
      <w:r>
        <w:rPr>
          <w:rFonts w:ascii="Arial" w:hAnsi="Arial" w:cs="Arial"/>
          <w:b/>
          <w:sz w:val="24"/>
          <w:szCs w:val="24"/>
        </w:rPr>
        <w:t xml:space="preserve">(394) </w:t>
      </w:r>
      <w:r w:rsidRPr="004C3A3A">
        <w:rPr>
          <w:rFonts w:ascii="Arial" w:hAnsi="Arial" w:cs="Arial"/>
          <w:b/>
          <w:sz w:val="24"/>
          <w:szCs w:val="24"/>
        </w:rPr>
        <w:t>Lauf an der Pegnitz: Mehrere Drohschreiben mit Munition versandt – eine Tatverdächtige ermittelt - gemeinsame Pressekonferenz des PP Mfr und der Staats</w:t>
      </w:r>
      <w:r>
        <w:rPr>
          <w:rFonts w:ascii="Arial" w:hAnsi="Arial" w:cs="Arial"/>
          <w:b/>
          <w:sz w:val="24"/>
          <w:szCs w:val="24"/>
        </w:rPr>
        <w:t>anwaltschaft Nürnberg-Fürth</w:t>
      </w:r>
    </w:p>
    <w:p w:rsidR="009C5729" w:rsidRPr="004C3A3A" w:rsidRDefault="009C5729" w:rsidP="009C5729">
      <w:pPr>
        <w:ind w:right="2125"/>
        <w:rPr>
          <w:rFonts w:ascii="Arial" w:hAnsi="Arial" w:cs="Arial"/>
          <w:b/>
          <w:sz w:val="24"/>
          <w:szCs w:val="24"/>
        </w:rPr>
      </w:pPr>
    </w:p>
    <w:p w:rsidR="009C5729" w:rsidRPr="004C3A3A" w:rsidRDefault="009C5729" w:rsidP="009C5729">
      <w:pPr>
        <w:ind w:right="2125"/>
        <w:rPr>
          <w:rFonts w:ascii="Arial" w:hAnsi="Arial" w:cs="Arial"/>
          <w:sz w:val="24"/>
          <w:szCs w:val="24"/>
        </w:rPr>
      </w:pPr>
      <w:r w:rsidRPr="004C3A3A">
        <w:rPr>
          <w:rFonts w:ascii="Arial" w:hAnsi="Arial" w:cs="Arial"/>
          <w:sz w:val="24"/>
          <w:szCs w:val="24"/>
        </w:rPr>
        <w:t>Wie mit Meldung 319 (06.03.2020) und 339 (11.03.2020) berichtet, wurden mehrere Drohschreiben,</w:t>
      </w:r>
      <w:r>
        <w:rPr>
          <w:rFonts w:ascii="Arial" w:hAnsi="Arial" w:cs="Arial"/>
          <w:sz w:val="24"/>
          <w:szCs w:val="24"/>
        </w:rPr>
        <w:t xml:space="preserve"> </w:t>
      </w:r>
      <w:r w:rsidRPr="004C3A3A">
        <w:rPr>
          <w:rFonts w:ascii="Arial" w:hAnsi="Arial" w:cs="Arial"/>
          <w:sz w:val="24"/>
          <w:szCs w:val="24"/>
        </w:rPr>
        <w:t>denen teilweise echte Munition beigefügt war, versandt. Betroffen waren ein Türkisch-Islamischer Moscheeverein sowie zwei Kommunalpolitiker aus dem Nürnberger Land und eine weitere</w:t>
      </w:r>
      <w:r>
        <w:rPr>
          <w:rFonts w:ascii="Arial" w:hAnsi="Arial" w:cs="Arial"/>
          <w:sz w:val="24"/>
          <w:szCs w:val="24"/>
        </w:rPr>
        <w:t xml:space="preserve"> regionale</w:t>
      </w:r>
      <w:r w:rsidRPr="004C3A3A">
        <w:rPr>
          <w:rFonts w:ascii="Arial" w:hAnsi="Arial" w:cs="Arial"/>
          <w:sz w:val="24"/>
          <w:szCs w:val="24"/>
        </w:rPr>
        <w:t xml:space="preserve"> </w:t>
      </w:r>
      <w:r>
        <w:rPr>
          <w:rFonts w:ascii="Arial" w:hAnsi="Arial" w:cs="Arial"/>
          <w:sz w:val="24"/>
          <w:szCs w:val="24"/>
        </w:rPr>
        <w:t xml:space="preserve">soziale </w:t>
      </w:r>
      <w:r w:rsidRPr="004C3A3A">
        <w:rPr>
          <w:rFonts w:ascii="Arial" w:hAnsi="Arial" w:cs="Arial"/>
          <w:sz w:val="24"/>
          <w:szCs w:val="24"/>
        </w:rPr>
        <w:t xml:space="preserve">Einrichtung. </w:t>
      </w:r>
    </w:p>
    <w:p w:rsidR="009C5729" w:rsidRPr="004C3A3A" w:rsidRDefault="009C5729" w:rsidP="009C5729">
      <w:pPr>
        <w:ind w:right="2125"/>
        <w:rPr>
          <w:rFonts w:ascii="Arial" w:hAnsi="Arial" w:cs="Arial"/>
          <w:sz w:val="24"/>
          <w:szCs w:val="24"/>
        </w:rPr>
      </w:pPr>
    </w:p>
    <w:p w:rsidR="009C5729" w:rsidRDefault="009C5729" w:rsidP="009C5729">
      <w:pPr>
        <w:ind w:right="2125"/>
        <w:rPr>
          <w:rFonts w:ascii="Arial" w:hAnsi="Arial" w:cs="Arial"/>
          <w:sz w:val="24"/>
          <w:szCs w:val="24"/>
        </w:rPr>
      </w:pPr>
      <w:r w:rsidRPr="004C3A3A">
        <w:rPr>
          <w:rFonts w:ascii="Arial" w:hAnsi="Arial" w:cs="Arial"/>
          <w:sz w:val="24"/>
          <w:szCs w:val="24"/>
        </w:rPr>
        <w:t>Aufgrund der intensiven kriminalpolizeilichen Ermittlungen der Kriminalpolizei Schwabach in enger Zusammenarbeit mit der Staatsanwaltschaft Nürnberg-Fürth konnte nun eine</w:t>
      </w:r>
      <w:r>
        <w:rPr>
          <w:rFonts w:ascii="Arial" w:hAnsi="Arial" w:cs="Arial"/>
          <w:sz w:val="24"/>
          <w:szCs w:val="24"/>
        </w:rPr>
        <w:t xml:space="preserve"> dringend</w:t>
      </w:r>
      <w:r w:rsidRPr="004C3A3A">
        <w:rPr>
          <w:rFonts w:ascii="Arial" w:hAnsi="Arial" w:cs="Arial"/>
          <w:sz w:val="24"/>
          <w:szCs w:val="24"/>
        </w:rPr>
        <w:t xml:space="preserve"> </w:t>
      </w:r>
      <w:r>
        <w:rPr>
          <w:rFonts w:ascii="Arial" w:hAnsi="Arial" w:cs="Arial"/>
          <w:sz w:val="24"/>
          <w:szCs w:val="24"/>
        </w:rPr>
        <w:t>t</w:t>
      </w:r>
      <w:r w:rsidRPr="004C3A3A">
        <w:rPr>
          <w:rFonts w:ascii="Arial" w:hAnsi="Arial" w:cs="Arial"/>
          <w:sz w:val="24"/>
          <w:szCs w:val="24"/>
        </w:rPr>
        <w:t xml:space="preserve">atverdächtige </w:t>
      </w:r>
      <w:r>
        <w:rPr>
          <w:rFonts w:ascii="Arial" w:hAnsi="Arial" w:cs="Arial"/>
          <w:sz w:val="24"/>
          <w:szCs w:val="24"/>
        </w:rPr>
        <w:t>5</w:t>
      </w:r>
      <w:r w:rsidR="0083615F">
        <w:rPr>
          <w:rFonts w:ascii="Arial" w:hAnsi="Arial" w:cs="Arial"/>
          <w:sz w:val="24"/>
          <w:szCs w:val="24"/>
        </w:rPr>
        <w:t>4</w:t>
      </w:r>
      <w:bookmarkStart w:id="0" w:name="_GoBack"/>
      <w:bookmarkEnd w:id="0"/>
      <w:r>
        <w:rPr>
          <w:rFonts w:ascii="Arial" w:hAnsi="Arial" w:cs="Arial"/>
          <w:sz w:val="24"/>
          <w:szCs w:val="24"/>
        </w:rPr>
        <w:t xml:space="preserve">-jährige Frau aus dem Landkreis Nürnberger Land </w:t>
      </w:r>
      <w:r w:rsidRPr="004C3A3A">
        <w:rPr>
          <w:rFonts w:ascii="Arial" w:hAnsi="Arial" w:cs="Arial"/>
          <w:sz w:val="24"/>
          <w:szCs w:val="24"/>
        </w:rPr>
        <w:t xml:space="preserve">ermittelt werden. </w:t>
      </w:r>
    </w:p>
    <w:p w:rsidR="009C5729" w:rsidRDefault="009C5729" w:rsidP="009C5729">
      <w:pPr>
        <w:ind w:right="2125"/>
        <w:rPr>
          <w:rFonts w:ascii="Arial" w:hAnsi="Arial" w:cs="Arial"/>
          <w:sz w:val="24"/>
          <w:szCs w:val="24"/>
        </w:rPr>
      </w:pPr>
    </w:p>
    <w:p w:rsidR="009C5729" w:rsidRPr="00B44A07" w:rsidRDefault="009C5729" w:rsidP="009C5729">
      <w:pPr>
        <w:ind w:right="2125"/>
        <w:rPr>
          <w:rFonts w:ascii="Arial" w:hAnsi="Arial" w:cs="Arial"/>
          <w:sz w:val="24"/>
          <w:szCs w:val="24"/>
        </w:rPr>
      </w:pPr>
      <w:r w:rsidRPr="00B44A07">
        <w:rPr>
          <w:rFonts w:ascii="Arial" w:hAnsi="Arial" w:cs="Arial"/>
          <w:sz w:val="24"/>
          <w:szCs w:val="24"/>
        </w:rPr>
        <w:t xml:space="preserve">Bereits seit </w:t>
      </w:r>
      <w:r>
        <w:rPr>
          <w:rFonts w:ascii="Arial" w:hAnsi="Arial" w:cs="Arial"/>
          <w:sz w:val="24"/>
          <w:szCs w:val="24"/>
        </w:rPr>
        <w:t>Anfang Dezember 2019 hatte ein zunächst unbekannter</w:t>
      </w:r>
      <w:r w:rsidRPr="00B44A07">
        <w:rPr>
          <w:rFonts w:ascii="Arial" w:hAnsi="Arial" w:cs="Arial"/>
          <w:sz w:val="24"/>
          <w:szCs w:val="24"/>
        </w:rPr>
        <w:t xml:space="preserve"> Täter mehrere Drohschreiben verschickt. Teilweise waren den hierzu versandten Grußkarten</w:t>
      </w:r>
      <w:r>
        <w:rPr>
          <w:rFonts w:ascii="Arial" w:hAnsi="Arial" w:cs="Arial"/>
          <w:sz w:val="24"/>
          <w:szCs w:val="24"/>
        </w:rPr>
        <w:t>, die offensichtlich mit einer Schablone geschrieben waren,</w:t>
      </w:r>
      <w:r w:rsidRPr="00B44A07">
        <w:rPr>
          <w:rFonts w:ascii="Arial" w:hAnsi="Arial" w:cs="Arial"/>
          <w:sz w:val="24"/>
          <w:szCs w:val="24"/>
        </w:rPr>
        <w:t xml:space="preserve"> „scharfe“ Patronen beigelegt. Neben einem Türkisch-Islamischen Moscheeverein in </w:t>
      </w:r>
      <w:proofErr w:type="spellStart"/>
      <w:r w:rsidRPr="00B44A07">
        <w:rPr>
          <w:rFonts w:ascii="Arial" w:hAnsi="Arial" w:cs="Arial"/>
          <w:sz w:val="24"/>
          <w:szCs w:val="24"/>
        </w:rPr>
        <w:t>Röthenbach</w:t>
      </w:r>
      <w:proofErr w:type="spellEnd"/>
      <w:r w:rsidRPr="00B44A07">
        <w:rPr>
          <w:rFonts w:ascii="Arial" w:hAnsi="Arial" w:cs="Arial"/>
          <w:sz w:val="24"/>
          <w:szCs w:val="24"/>
        </w:rPr>
        <w:t xml:space="preserve"> an der Pegnitz (</w:t>
      </w:r>
      <w:proofErr w:type="spellStart"/>
      <w:r w:rsidRPr="00B44A07">
        <w:rPr>
          <w:rFonts w:ascii="Arial" w:hAnsi="Arial" w:cs="Arial"/>
          <w:sz w:val="24"/>
          <w:szCs w:val="24"/>
        </w:rPr>
        <w:t>Lkrs</w:t>
      </w:r>
      <w:proofErr w:type="spellEnd"/>
      <w:r w:rsidRPr="00B44A07">
        <w:rPr>
          <w:rFonts w:ascii="Arial" w:hAnsi="Arial" w:cs="Arial"/>
          <w:sz w:val="24"/>
          <w:szCs w:val="24"/>
        </w:rPr>
        <w:t>. Nürnberger Land) sind von diesen Drohungen auch zwe</w:t>
      </w:r>
      <w:r>
        <w:rPr>
          <w:rFonts w:ascii="Arial" w:hAnsi="Arial" w:cs="Arial"/>
          <w:sz w:val="24"/>
          <w:szCs w:val="24"/>
        </w:rPr>
        <w:t>i Kommunalpolitiker und eine regionale soziale Einrichtung betroffen. Die Drohschreiben hatten große Angst, Besorgnis und Unsicherheit in der Bevölkerung und bei den Funktionsträgern ausgelöst.</w:t>
      </w:r>
    </w:p>
    <w:p w:rsidR="009C5729" w:rsidRPr="00B44A07" w:rsidRDefault="009C5729" w:rsidP="009C5729">
      <w:pPr>
        <w:ind w:right="2125"/>
        <w:rPr>
          <w:rFonts w:ascii="Arial" w:hAnsi="Arial" w:cs="Arial"/>
          <w:sz w:val="24"/>
          <w:szCs w:val="24"/>
        </w:rPr>
      </w:pPr>
    </w:p>
    <w:p w:rsidR="009C5729" w:rsidRDefault="009C5729" w:rsidP="009C5729">
      <w:pPr>
        <w:ind w:right="2125"/>
        <w:rPr>
          <w:rFonts w:ascii="Arial" w:hAnsi="Arial" w:cs="Arial"/>
          <w:sz w:val="24"/>
          <w:szCs w:val="24"/>
        </w:rPr>
      </w:pPr>
      <w:r w:rsidRPr="00B44A07">
        <w:rPr>
          <w:rFonts w:ascii="Arial" w:hAnsi="Arial" w:cs="Arial"/>
          <w:sz w:val="24"/>
          <w:szCs w:val="24"/>
        </w:rPr>
        <w:t xml:space="preserve">Zur Aufklärung der Bedrohungsserie hat die mittelfränkische Polizei bei der Kriminalpolizei Schwabach eine </w:t>
      </w:r>
      <w:r>
        <w:rPr>
          <w:rFonts w:ascii="Arial" w:hAnsi="Arial" w:cs="Arial"/>
          <w:sz w:val="24"/>
          <w:szCs w:val="24"/>
        </w:rPr>
        <w:t xml:space="preserve">rund 20 Personen starke </w:t>
      </w:r>
      <w:r w:rsidRPr="00B44A07">
        <w:rPr>
          <w:rFonts w:ascii="Arial" w:hAnsi="Arial" w:cs="Arial"/>
          <w:sz w:val="24"/>
          <w:szCs w:val="24"/>
        </w:rPr>
        <w:t>Sonderkommission (</w:t>
      </w:r>
      <w:proofErr w:type="spellStart"/>
      <w:r w:rsidRPr="00B44A07">
        <w:rPr>
          <w:rFonts w:ascii="Arial" w:hAnsi="Arial" w:cs="Arial"/>
          <w:sz w:val="24"/>
          <w:szCs w:val="24"/>
        </w:rPr>
        <w:t>Soko</w:t>
      </w:r>
      <w:proofErr w:type="spellEnd"/>
      <w:r w:rsidRPr="00B44A07">
        <w:rPr>
          <w:rFonts w:ascii="Arial" w:hAnsi="Arial" w:cs="Arial"/>
          <w:sz w:val="24"/>
          <w:szCs w:val="24"/>
        </w:rPr>
        <w:t xml:space="preserve">) mit dem Namen „Karte“ eingerichtet. </w:t>
      </w:r>
      <w:r>
        <w:rPr>
          <w:rFonts w:ascii="Arial" w:hAnsi="Arial" w:cs="Arial"/>
          <w:sz w:val="24"/>
          <w:szCs w:val="24"/>
        </w:rPr>
        <w:t xml:space="preserve">Aufgrund des Inhaltes der Drohschreiben und der Art und Weise der Bedrohung gingen die polizeilichen Ermittler sehr schnell von einer politisch rechts motivierten Tat aus. Es wurden zahlreiche Spuren gesichert, Zeugenbefragungen durchgeführt, die operative Fallanalyse (OFA) eingebunden sowie die Streifenpräsenz vor Ort deutlich erhöht. Die betroffenen Personen erhielten eine verhaltensorientierte Beratung und eine sicherheitstechnische Beratung für ihre Anwesen. Über die Medien wurden mehrere Zeugenaufrufe, insbesondere zur Herkunft der versendeten Karten, gesteuert. </w:t>
      </w:r>
    </w:p>
    <w:p w:rsidR="009C5729" w:rsidRDefault="009C5729" w:rsidP="009C5729">
      <w:pPr>
        <w:ind w:right="2125"/>
        <w:rPr>
          <w:rFonts w:ascii="Arial" w:hAnsi="Arial" w:cs="Arial"/>
          <w:sz w:val="24"/>
          <w:szCs w:val="24"/>
        </w:rPr>
      </w:pPr>
    </w:p>
    <w:p w:rsidR="009C5729" w:rsidRDefault="009C5729" w:rsidP="009C5729">
      <w:pPr>
        <w:ind w:right="2125"/>
        <w:rPr>
          <w:rFonts w:ascii="Arial" w:hAnsi="Arial" w:cs="Arial"/>
          <w:sz w:val="24"/>
          <w:szCs w:val="24"/>
        </w:rPr>
      </w:pPr>
      <w:r>
        <w:rPr>
          <w:rFonts w:ascii="Arial" w:hAnsi="Arial" w:cs="Arial"/>
          <w:sz w:val="24"/>
          <w:szCs w:val="24"/>
        </w:rPr>
        <w:lastRenderedPageBreak/>
        <w:t>Die intensiven kriminalpolizeilichen Ermittlungen führten schließlich in enger Zusammenarbeit mit der Staatsanwaltschaft Nürnberg-Fürth zu der dringend tatverdächtigen Frau.</w:t>
      </w:r>
    </w:p>
    <w:p w:rsidR="009C5729" w:rsidRDefault="009C5729" w:rsidP="009C5729">
      <w:pPr>
        <w:ind w:right="2125"/>
        <w:rPr>
          <w:rFonts w:ascii="Arial" w:hAnsi="Arial" w:cs="Arial"/>
          <w:sz w:val="24"/>
          <w:szCs w:val="24"/>
        </w:rPr>
      </w:pPr>
    </w:p>
    <w:p w:rsidR="009C5729" w:rsidRDefault="009C5729" w:rsidP="009C5729">
      <w:pPr>
        <w:ind w:right="2125"/>
        <w:rPr>
          <w:rFonts w:ascii="Arial" w:hAnsi="Arial" w:cs="Arial"/>
          <w:sz w:val="24"/>
          <w:szCs w:val="24"/>
        </w:rPr>
      </w:pPr>
      <w:r>
        <w:rPr>
          <w:rFonts w:ascii="Arial" w:hAnsi="Arial" w:cs="Arial"/>
          <w:sz w:val="24"/>
          <w:szCs w:val="24"/>
        </w:rPr>
        <w:t>Aufgrund der Vielzahl der Indizien wurde von der Staatsanwaltschaft Nürnberg-Fürth ein Durchsuchungsbeschluss beantragt und vom Ermittlungsrichter des Amtsgerichts Nürnberg-Fürth erlassen.</w:t>
      </w:r>
    </w:p>
    <w:p w:rsidR="009C5729" w:rsidRDefault="009C5729" w:rsidP="009C5729">
      <w:pPr>
        <w:ind w:right="2125"/>
        <w:rPr>
          <w:rFonts w:ascii="Arial" w:hAnsi="Arial" w:cs="Arial"/>
          <w:sz w:val="24"/>
          <w:szCs w:val="24"/>
        </w:rPr>
      </w:pPr>
    </w:p>
    <w:p w:rsidR="009C5729" w:rsidRDefault="009C5729" w:rsidP="009C5729">
      <w:pPr>
        <w:ind w:right="2125"/>
        <w:rPr>
          <w:rFonts w:ascii="Arial" w:hAnsi="Arial" w:cs="Arial"/>
          <w:sz w:val="24"/>
          <w:szCs w:val="24"/>
        </w:rPr>
      </w:pPr>
      <w:r>
        <w:rPr>
          <w:rFonts w:ascii="Arial" w:hAnsi="Arial" w:cs="Arial"/>
          <w:sz w:val="24"/>
          <w:szCs w:val="24"/>
        </w:rPr>
        <w:t>Bei der heute durchgeführten Durchsuchung des Wohnanwesens konnte weiteres Beweismaterial, darunter eine Schablone und diverse ähnliche Glückwunschkarten, wie sie zurückliegend an die Geschädigten versandt worden waren, sichergestellt werden. Ferner wurde umfangreiches Beweismaterial sichergestellt, das auf eine beständige rechtsgerichtete Gesinnung schließen lässt, aufgefunden.</w:t>
      </w:r>
    </w:p>
    <w:p w:rsidR="009C5729" w:rsidRDefault="009C5729" w:rsidP="009C5729">
      <w:pPr>
        <w:ind w:right="2125"/>
        <w:rPr>
          <w:rFonts w:ascii="Arial" w:hAnsi="Arial" w:cs="Arial"/>
          <w:sz w:val="24"/>
          <w:szCs w:val="24"/>
        </w:rPr>
      </w:pPr>
    </w:p>
    <w:p w:rsidR="009C5729" w:rsidRDefault="009C5729" w:rsidP="009C5729">
      <w:pPr>
        <w:ind w:right="2125"/>
        <w:rPr>
          <w:rFonts w:ascii="Arial" w:hAnsi="Arial" w:cs="Arial"/>
          <w:sz w:val="24"/>
          <w:szCs w:val="24"/>
        </w:rPr>
      </w:pPr>
      <w:r>
        <w:rPr>
          <w:rFonts w:ascii="Arial" w:hAnsi="Arial" w:cs="Arial"/>
          <w:sz w:val="24"/>
          <w:szCs w:val="24"/>
        </w:rPr>
        <w:t>Die Ermittlungen dauern an. / Elke Schönwald/n</w:t>
      </w:r>
    </w:p>
    <w:p w:rsidR="00E01C73" w:rsidRPr="00D100D7" w:rsidRDefault="00E01C73" w:rsidP="00FB1035">
      <w:pPr>
        <w:ind w:right="1417"/>
        <w:rPr>
          <w:rFonts w:ascii="Arial" w:hAnsi="Arial" w:cs="Arial"/>
          <w:noProof/>
          <w:color w:val="008DC9"/>
          <w:sz w:val="32"/>
          <w:szCs w:val="32"/>
          <w:lang w:eastAsia="de-DE"/>
        </w:rPr>
      </w:pPr>
    </w:p>
    <w:p w:rsidR="00267D8E" w:rsidRPr="00D100D7" w:rsidRDefault="00267D8E" w:rsidP="006C48EB">
      <w:pPr>
        <w:ind w:right="2125"/>
        <w:rPr>
          <w:rFonts w:ascii="Arial" w:hAnsi="Arial" w:cs="Arial"/>
          <w:noProof/>
          <w:color w:val="008DC9"/>
          <w:sz w:val="24"/>
          <w:szCs w:val="24"/>
          <w:lang w:eastAsia="de-DE"/>
        </w:rPr>
      </w:pPr>
    </w:p>
    <w:sectPr w:rsidR="00267D8E" w:rsidRPr="00D100D7" w:rsidSect="00AF24E0">
      <w:headerReference w:type="default" r:id="rId7"/>
      <w:footerReference w:type="default" r:id="rId8"/>
      <w:headerReference w:type="first" r:id="rId9"/>
      <w:pgSz w:w="11906" w:h="16838"/>
      <w:pgMar w:top="1417" w:right="0" w:bottom="1134"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14A" w:rsidRDefault="005F414A" w:rsidP="005F414A">
      <w:pPr>
        <w:spacing w:line="240" w:lineRule="auto"/>
      </w:pPr>
      <w:r>
        <w:separator/>
      </w:r>
    </w:p>
  </w:endnote>
  <w:endnote w:type="continuationSeparator" w:id="0">
    <w:p w:rsidR="005F414A" w:rsidRDefault="005F414A" w:rsidP="005F4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 Sans Pro">
    <w:altName w:val="Corbel"/>
    <w:panose1 w:val="00000000000000000000"/>
    <w:charset w:val="00"/>
    <w:family w:val="swiss"/>
    <w:notTrueType/>
    <w:pitch w:val="variable"/>
    <w:sig w:usb0="00000001"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68B" w:rsidRPr="005C168B" w:rsidRDefault="006C48EB" w:rsidP="00C019B4">
    <w:pPr>
      <w:pStyle w:val="Fuzeile"/>
      <w:tabs>
        <w:tab w:val="clear" w:pos="4536"/>
        <w:tab w:val="clear" w:pos="9072"/>
        <w:tab w:val="right" w:pos="3828"/>
      </w:tabs>
      <w:ind w:left="-1417"/>
      <w:rPr>
        <w:sz w:val="16"/>
        <w:szCs w:val="16"/>
      </w:rPr>
    </w:pPr>
    <w:r>
      <w:rPr>
        <w:noProof/>
        <w:sz w:val="16"/>
        <w:szCs w:val="16"/>
        <w:lang w:eastAsia="de-DE"/>
      </w:rPr>
      <w:drawing>
        <wp:inline distT="0" distB="0" distL="0" distR="0">
          <wp:extent cx="7551420" cy="1702435"/>
          <wp:effectExtent l="0" t="0" r="0" b="0"/>
          <wp:docPr id="3" name="Grafik 3" descr="muster_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muster_un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17024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14A" w:rsidRDefault="005F414A" w:rsidP="005F414A">
      <w:pPr>
        <w:spacing w:line="240" w:lineRule="auto"/>
      </w:pPr>
      <w:r>
        <w:separator/>
      </w:r>
    </w:p>
  </w:footnote>
  <w:footnote w:type="continuationSeparator" w:id="0">
    <w:p w:rsidR="005F414A" w:rsidRDefault="005F414A" w:rsidP="005F41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w:rsidR="00AF24E0" w:rsidRDefault="00AF24E0">
        <w:pPr>
          <w:pStyle w:val="Kopfzeile"/>
        </w:pPr>
      </w:p>
      <w:p w:rsidR="003F716A" w:rsidRDefault="006C48EB" w:rsidP="00AF24E0">
        <w:pPr>
          <w:pStyle w:val="Kopfzeile"/>
          <w:ind w:left="-1417"/>
        </w:pPr>
        <w:r>
          <w:rPr>
            <w:noProof/>
            <w:lang w:eastAsia="de-DE"/>
          </w:rPr>
          <w:drawing>
            <wp:inline distT="0" distB="0" distL="0" distR="0" wp14:anchorId="420839E4" wp14:editId="50A1A67C">
              <wp:extent cx="7597347" cy="715052"/>
              <wp:effectExtent l="0" t="0" r="0" b="8890"/>
              <wp:docPr id="4" name="Grafik 4" descr="C:\Users\moritz.bohner\AppData\Local\Microsoft\Windows\INetCache\Content.Word\vorlage_oben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C:\Users\moritz.bohner\AppData\Local\Microsoft\Windows\INetCache\Content.Word\vorlage_oben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5221" cy="722381"/>
                      </a:xfrm>
                      <a:prstGeom prst="rect">
                        <a:avLst/>
                      </a:prstGeom>
                      <a:noFill/>
                      <a:ln>
                        <a:noFill/>
                      </a:ln>
                    </pic:spPr>
                  </pic:pic>
                </a:graphicData>
              </a:graphic>
            </wp:inline>
          </w:drawing>
        </w:r>
      </w:p>
      <w:p w:rsidR="00AF24E0" w:rsidRDefault="003F716A" w:rsidP="00AF24E0">
        <w:pPr>
          <w:pStyle w:val="Kopfzeile"/>
          <w:ind w:left="-1417"/>
        </w:pPr>
        <w:r>
          <w:t xml:space="preserve">                            </w:t>
        </w:r>
        <w:r w:rsidR="00AF24E0" w:rsidRPr="00AE1F47">
          <w:rPr>
            <w:rFonts w:ascii="Source Sans Pro" w:hAnsi="Source Sans Pro"/>
            <w:i/>
            <w:color w:val="008DC9"/>
          </w:rPr>
          <w:t xml:space="preserve">Seite </w:t>
        </w:r>
        <w:r w:rsidR="00AF24E0" w:rsidRPr="00AE1F47">
          <w:rPr>
            <w:rFonts w:ascii="Source Sans Pro" w:hAnsi="Source Sans Pro"/>
            <w:b/>
            <w:bCs/>
            <w:i/>
            <w:color w:val="008DC9"/>
            <w:sz w:val="24"/>
            <w:szCs w:val="24"/>
          </w:rPr>
          <w:fldChar w:fldCharType="begin"/>
        </w:r>
        <w:r w:rsidR="00AF24E0" w:rsidRPr="00AE1F47">
          <w:rPr>
            <w:rFonts w:ascii="Source Sans Pro" w:hAnsi="Source Sans Pro"/>
            <w:b/>
            <w:bCs/>
            <w:i/>
            <w:color w:val="008DC9"/>
          </w:rPr>
          <w:instrText>PAGE</w:instrText>
        </w:r>
        <w:r w:rsidR="00AF24E0" w:rsidRPr="00AE1F47">
          <w:rPr>
            <w:rFonts w:ascii="Source Sans Pro" w:hAnsi="Source Sans Pro"/>
            <w:b/>
            <w:bCs/>
            <w:i/>
            <w:color w:val="008DC9"/>
            <w:sz w:val="24"/>
            <w:szCs w:val="24"/>
          </w:rPr>
          <w:fldChar w:fldCharType="separate"/>
        </w:r>
        <w:r w:rsidR="0083615F">
          <w:rPr>
            <w:rFonts w:ascii="Source Sans Pro" w:hAnsi="Source Sans Pro"/>
            <w:b/>
            <w:bCs/>
            <w:i/>
            <w:noProof/>
            <w:color w:val="008DC9"/>
          </w:rPr>
          <w:t>2</w:t>
        </w:r>
        <w:r w:rsidR="00AF24E0" w:rsidRPr="00AE1F47">
          <w:rPr>
            <w:rFonts w:ascii="Source Sans Pro" w:hAnsi="Source Sans Pro"/>
            <w:b/>
            <w:bCs/>
            <w:i/>
            <w:color w:val="008DC9"/>
            <w:sz w:val="24"/>
            <w:szCs w:val="24"/>
          </w:rPr>
          <w:fldChar w:fldCharType="end"/>
        </w:r>
        <w:r w:rsidR="00AF24E0" w:rsidRPr="00AE1F47">
          <w:rPr>
            <w:rFonts w:ascii="Source Sans Pro" w:hAnsi="Source Sans Pro"/>
            <w:i/>
            <w:color w:val="008DC9"/>
          </w:rPr>
          <w:t xml:space="preserve"> von </w:t>
        </w:r>
        <w:r w:rsidR="00AF24E0" w:rsidRPr="00AE1F47">
          <w:rPr>
            <w:rFonts w:ascii="Source Sans Pro" w:hAnsi="Source Sans Pro"/>
            <w:b/>
            <w:bCs/>
            <w:i/>
            <w:color w:val="008DC9"/>
            <w:sz w:val="24"/>
            <w:szCs w:val="24"/>
          </w:rPr>
          <w:fldChar w:fldCharType="begin"/>
        </w:r>
        <w:r w:rsidR="00AF24E0" w:rsidRPr="00AE1F47">
          <w:rPr>
            <w:rFonts w:ascii="Source Sans Pro" w:hAnsi="Source Sans Pro"/>
            <w:b/>
            <w:bCs/>
            <w:i/>
            <w:color w:val="008DC9"/>
          </w:rPr>
          <w:instrText>NUMPAGES</w:instrText>
        </w:r>
        <w:r w:rsidR="00AF24E0" w:rsidRPr="00AE1F47">
          <w:rPr>
            <w:rFonts w:ascii="Source Sans Pro" w:hAnsi="Source Sans Pro"/>
            <w:b/>
            <w:bCs/>
            <w:i/>
            <w:color w:val="008DC9"/>
            <w:sz w:val="24"/>
            <w:szCs w:val="24"/>
          </w:rPr>
          <w:fldChar w:fldCharType="separate"/>
        </w:r>
        <w:r w:rsidR="0083615F">
          <w:rPr>
            <w:rFonts w:ascii="Source Sans Pro" w:hAnsi="Source Sans Pro"/>
            <w:b/>
            <w:bCs/>
            <w:i/>
            <w:noProof/>
            <w:color w:val="008DC9"/>
          </w:rPr>
          <w:t>2</w:t>
        </w:r>
        <w:r w:rsidR="00AF24E0" w:rsidRPr="00AE1F47">
          <w:rPr>
            <w:rFonts w:ascii="Source Sans Pro" w:hAnsi="Source Sans Pro"/>
            <w:b/>
            <w:bCs/>
            <w:i/>
            <w:color w:val="008DC9"/>
            <w:sz w:val="24"/>
            <w:szCs w:val="24"/>
          </w:rPr>
          <w:fldChar w:fldCharType="end"/>
        </w:r>
      </w:p>
    </w:sdtContent>
  </w:sdt>
  <w:p w:rsidR="00575645" w:rsidRDefault="00575645" w:rsidP="000F154C">
    <w:pPr>
      <w:pStyle w:val="Kopfzeile"/>
      <w:ind w:left="-1417"/>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291" w:rsidRDefault="006C48EB" w:rsidP="00902291">
    <w:pPr>
      <w:pStyle w:val="Kopfzeile"/>
      <w:ind w:left="-1417"/>
    </w:pPr>
    <w:r>
      <w:rPr>
        <w:noProof/>
        <w:lang w:eastAsia="de-DE"/>
      </w:rPr>
      <w:drawing>
        <wp:inline distT="0" distB="0" distL="0" distR="0">
          <wp:extent cx="7551420" cy="2332990"/>
          <wp:effectExtent l="0" t="0" r="0" b="0"/>
          <wp:docPr id="2" name="Grafik 2" descr="vorlage_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vorlage_o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23329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4A"/>
    <w:rsid w:val="0005742B"/>
    <w:rsid w:val="0007324A"/>
    <w:rsid w:val="000F154C"/>
    <w:rsid w:val="001722E3"/>
    <w:rsid w:val="00222AB9"/>
    <w:rsid w:val="00267D8E"/>
    <w:rsid w:val="002E1BBF"/>
    <w:rsid w:val="00331C2D"/>
    <w:rsid w:val="003F716A"/>
    <w:rsid w:val="003F776C"/>
    <w:rsid w:val="004B7864"/>
    <w:rsid w:val="004E298F"/>
    <w:rsid w:val="00575645"/>
    <w:rsid w:val="005B53D3"/>
    <w:rsid w:val="005C168B"/>
    <w:rsid w:val="005F414A"/>
    <w:rsid w:val="006058C6"/>
    <w:rsid w:val="006154DE"/>
    <w:rsid w:val="006708EF"/>
    <w:rsid w:val="006C48EB"/>
    <w:rsid w:val="006D080A"/>
    <w:rsid w:val="006F4CEF"/>
    <w:rsid w:val="00705AB1"/>
    <w:rsid w:val="007F5511"/>
    <w:rsid w:val="0083615F"/>
    <w:rsid w:val="008B5C3E"/>
    <w:rsid w:val="008E541A"/>
    <w:rsid w:val="00902291"/>
    <w:rsid w:val="00903BE3"/>
    <w:rsid w:val="00935B52"/>
    <w:rsid w:val="00994029"/>
    <w:rsid w:val="009C5729"/>
    <w:rsid w:val="009E0AC7"/>
    <w:rsid w:val="00A15D47"/>
    <w:rsid w:val="00AE1F47"/>
    <w:rsid w:val="00AF24E0"/>
    <w:rsid w:val="00B171D3"/>
    <w:rsid w:val="00B25C52"/>
    <w:rsid w:val="00B60A5C"/>
    <w:rsid w:val="00B81EDB"/>
    <w:rsid w:val="00B90118"/>
    <w:rsid w:val="00B915BE"/>
    <w:rsid w:val="00C019B4"/>
    <w:rsid w:val="00C829AF"/>
    <w:rsid w:val="00CC4124"/>
    <w:rsid w:val="00D100D7"/>
    <w:rsid w:val="00D14BA1"/>
    <w:rsid w:val="00DA0E7B"/>
    <w:rsid w:val="00DC238B"/>
    <w:rsid w:val="00DD4E05"/>
    <w:rsid w:val="00DF6A56"/>
    <w:rsid w:val="00E01C73"/>
    <w:rsid w:val="00EF2CD7"/>
    <w:rsid w:val="00F32EF4"/>
    <w:rsid w:val="00FB10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99022"/>
  <w15:chartTrackingRefBased/>
  <w15:docId w15:val="{D41E5220-2E72-4B61-92C3-3CD1774E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line="259" w:lineRule="auto"/>
        <w:ind w:right="212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F414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414A"/>
  </w:style>
  <w:style w:type="paragraph" w:styleId="Fuzeile">
    <w:name w:val="footer"/>
    <w:basedOn w:val="Standard"/>
    <w:link w:val="FuzeileZchn"/>
    <w:uiPriority w:val="99"/>
    <w:unhideWhenUsed/>
    <w:rsid w:val="005F414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F414A"/>
  </w:style>
  <w:style w:type="paragraph" w:styleId="Sprechblasentext">
    <w:name w:val="Balloon Text"/>
    <w:basedOn w:val="Standard"/>
    <w:link w:val="SprechblasentextZchn"/>
    <w:uiPriority w:val="99"/>
    <w:semiHidden/>
    <w:unhideWhenUsed/>
    <w:rsid w:val="006708E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708EF"/>
    <w:rPr>
      <w:rFonts w:ascii="Segoe UI" w:hAnsi="Segoe UI" w:cs="Segoe UI"/>
      <w:sz w:val="18"/>
      <w:szCs w:val="18"/>
    </w:rPr>
  </w:style>
  <w:style w:type="paragraph" w:customStyle="1" w:styleId="EinfAbs">
    <w:name w:val="[Einf. Abs.]"/>
    <w:basedOn w:val="Standard"/>
    <w:uiPriority w:val="99"/>
    <w:rsid w:val="006C48EB"/>
    <w:pPr>
      <w:autoSpaceDE w:val="0"/>
      <w:autoSpaceDN w:val="0"/>
      <w:adjustRightInd w:val="0"/>
      <w:spacing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4D851-8D58-4B5C-B411-AC114A3A6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2514</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Moritz Bohner</dc:creator>
  <cp:keywords/>
  <dc:description/>
  <cp:lastModifiedBy>Romanow, Anja (StMI)</cp:lastModifiedBy>
  <cp:revision>2</cp:revision>
  <cp:lastPrinted>2020-03-04T10:40:00Z</cp:lastPrinted>
  <dcterms:created xsi:type="dcterms:W3CDTF">2020-03-20T14:58:00Z</dcterms:created>
  <dcterms:modified xsi:type="dcterms:W3CDTF">2020-03-20T14:58:00Z</dcterms:modified>
</cp:coreProperties>
</file>